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BB" w:rsidRDefault="00177DFC">
      <w:pPr>
        <w:spacing w:before="147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DESIGN THINKING AND </w:t>
      </w:r>
      <w:r w:rsidR="001D56D4">
        <w:rPr>
          <w:sz w:val="28"/>
          <w:szCs w:val="28"/>
        </w:rPr>
        <w:t>SOCIAL RESEARCH</w:t>
      </w:r>
    </w:p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cs="Arial"/>
          <w:color w:val="000000"/>
          <w:sz w:val="18"/>
          <w:szCs w:val="18"/>
        </w:rPr>
      </w:pPr>
    </w:p>
    <w:tbl>
      <w:tblPr>
        <w:tblStyle w:val="a3"/>
        <w:tblW w:w="9940" w:type="dxa"/>
        <w:tblLayout w:type="fixed"/>
        <w:tblLook w:val="0000" w:firstRow="0" w:lastRow="0" w:firstColumn="0" w:lastColumn="0" w:noHBand="0" w:noVBand="0"/>
      </w:tblPr>
      <w:tblGrid>
        <w:gridCol w:w="3739"/>
        <w:gridCol w:w="6201"/>
      </w:tblGrid>
      <w:tr w:rsidR="007571BB">
        <w:trPr>
          <w:trHeight w:val="321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6201" w:type="dxa"/>
          </w:tcPr>
          <w:p w:rsidR="007571BB" w:rsidRDefault="006A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                           MNG250</w:t>
            </w:r>
          </w:p>
        </w:tc>
      </w:tr>
      <w:tr w:rsidR="007571BB">
        <w:trPr>
          <w:trHeight w:val="327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201" w:type="dxa"/>
          </w:tcPr>
          <w:p w:rsidR="007571BB" w:rsidRDefault="00177DFC" w:rsidP="001D5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Design </w:t>
            </w:r>
            <w:proofErr w:type="spellStart"/>
            <w:r>
              <w:rPr>
                <w:i/>
                <w:sz w:val="18"/>
                <w:szCs w:val="18"/>
              </w:rPr>
              <w:t>Thinking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and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6D4">
              <w:rPr>
                <w:i/>
                <w:sz w:val="18"/>
                <w:szCs w:val="18"/>
              </w:rPr>
              <w:t>Social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Research</w:t>
            </w:r>
            <w:proofErr w:type="spellEnd"/>
          </w:p>
        </w:tc>
      </w:tr>
      <w:tr w:rsidR="007571BB">
        <w:trPr>
          <w:trHeight w:val="327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Compulsory</w:t>
            </w:r>
            <w:proofErr w:type="spellEnd"/>
          </w:p>
        </w:tc>
      </w:tr>
      <w:tr w:rsidR="007571BB">
        <w:trPr>
          <w:trHeight w:val="327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I</w:t>
            </w:r>
          </w:p>
        </w:tc>
      </w:tr>
      <w:tr w:rsidR="007571BB">
        <w:trPr>
          <w:trHeight w:val="326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Semester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Autumn</w:t>
            </w:r>
            <w:proofErr w:type="spellEnd"/>
          </w:p>
        </w:tc>
      </w:tr>
      <w:tr w:rsidR="007571BB">
        <w:trPr>
          <w:trHeight w:val="534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387" w:right="182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6 ECTS; 24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hours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lectures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, 24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hours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seminars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, 112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hours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i/>
                <w:sz w:val="18"/>
                <w:szCs w:val="18"/>
              </w:rPr>
              <w:t xml:space="preserve">, 6 </w:t>
            </w:r>
            <w:proofErr w:type="spellStart"/>
            <w:r>
              <w:rPr>
                <w:i/>
                <w:sz w:val="18"/>
                <w:szCs w:val="18"/>
              </w:rPr>
              <w:t>hours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consultation</w:t>
            </w:r>
            <w:proofErr w:type="spellEnd"/>
          </w:p>
        </w:tc>
      </w:tr>
      <w:tr w:rsidR="007571BB">
        <w:trPr>
          <w:trHeight w:val="327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Coordinating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lecturer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Rita </w:t>
            </w:r>
            <w:proofErr w:type="spellStart"/>
            <w:r>
              <w:rPr>
                <w:i/>
                <w:sz w:val="18"/>
                <w:szCs w:val="18"/>
              </w:rPr>
              <w:t>Bajarūnienė</w:t>
            </w:r>
            <w:proofErr w:type="spellEnd"/>
          </w:p>
        </w:tc>
      </w:tr>
      <w:tr w:rsidR="007571BB">
        <w:trPr>
          <w:trHeight w:val="297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Hybrid</w:t>
            </w:r>
            <w:proofErr w:type="spellEnd"/>
            <w:r>
              <w:rPr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sz w:val="18"/>
                <w:szCs w:val="18"/>
              </w:rPr>
              <w:t>in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class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and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online</w:t>
            </w:r>
            <w:proofErr w:type="spellEnd"/>
          </w:p>
        </w:tc>
      </w:tr>
      <w:tr w:rsidR="007571BB">
        <w:trPr>
          <w:trHeight w:val="354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prerequisites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None</w:t>
            </w:r>
            <w:proofErr w:type="spellEnd"/>
          </w:p>
        </w:tc>
      </w:tr>
      <w:tr w:rsidR="007571BB">
        <w:trPr>
          <w:trHeight w:val="266"/>
        </w:trPr>
        <w:tc>
          <w:tcPr>
            <w:tcW w:w="3739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189" w:lineRule="auto"/>
              <w:ind w:left="20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Language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instruction</w:t>
            </w:r>
            <w:proofErr w:type="spellEnd"/>
          </w:p>
        </w:tc>
        <w:tc>
          <w:tcPr>
            <w:tcW w:w="6201" w:type="dxa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187" w:lineRule="auto"/>
              <w:ind w:left="1387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English</w:t>
            </w:r>
          </w:p>
        </w:tc>
      </w:tr>
    </w:tbl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18"/>
          <w:szCs w:val="18"/>
        </w:rPr>
      </w:pPr>
    </w:p>
    <w:p w:rsidR="006A0D1D" w:rsidRDefault="006A0D1D" w:rsidP="006A0D1D">
      <w:pPr>
        <w:pStyle w:val="Heading1"/>
        <w:ind w:left="0"/>
      </w:pPr>
    </w:p>
    <w:p w:rsidR="007571BB" w:rsidRDefault="00177DFC" w:rsidP="006A0D1D">
      <w:pPr>
        <w:pStyle w:val="Heading1"/>
        <w:ind w:left="0"/>
      </w:pPr>
      <w:proofErr w:type="spellStart"/>
      <w:r>
        <w:t>Course</w:t>
      </w:r>
      <w:proofErr w:type="spellEnd"/>
      <w:r>
        <w:t xml:space="preserve"> </w:t>
      </w:r>
      <w:proofErr w:type="spellStart"/>
      <w:r>
        <w:t>description</w:t>
      </w:r>
      <w:proofErr w:type="spellEnd"/>
    </w:p>
    <w:p w:rsidR="006A0D1D" w:rsidRDefault="006A0D1D" w:rsidP="006A0D1D">
      <w:pPr>
        <w:pStyle w:val="Heading1"/>
        <w:ind w:left="0"/>
        <w:jc w:val="both"/>
      </w:pPr>
    </w:p>
    <w:p w:rsidR="007571BB" w:rsidRDefault="00177DFC" w:rsidP="006A0D1D">
      <w:pPr>
        <w:pStyle w:val="Heading1"/>
        <w:ind w:left="0"/>
        <w:jc w:val="both"/>
        <w:rPr>
          <w:b w:val="0"/>
        </w:rPr>
      </w:pP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course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introduces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basics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design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thinking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importance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human-centered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approach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innovation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success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business</w:t>
      </w:r>
      <w:proofErr w:type="spellEnd"/>
      <w:r>
        <w:rPr>
          <w:b w:val="0"/>
        </w:rPr>
        <w:t xml:space="preserve">. 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course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will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familiarize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landscape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Design </w:t>
      </w:r>
      <w:proofErr w:type="spellStart"/>
      <w:r>
        <w:rPr>
          <w:b w:val="0"/>
        </w:rPr>
        <w:t>Thinking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models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major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steps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Design </w:t>
      </w:r>
      <w:proofErr w:type="spellStart"/>
      <w:r>
        <w:rPr>
          <w:b w:val="0"/>
        </w:rPr>
        <w:t>Thinking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methodology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We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will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deep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design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process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Empathise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Define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Ideate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We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will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examine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fieldwork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order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understand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people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truly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want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need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desire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learn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fundamentals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about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how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gather</w:t>
      </w:r>
      <w:proofErr w:type="spellEnd"/>
      <w:r>
        <w:rPr>
          <w:b w:val="0"/>
        </w:rPr>
        <w:t xml:space="preserve"> data, </w:t>
      </w:r>
      <w:proofErr w:type="spellStart"/>
      <w:r>
        <w:rPr>
          <w:b w:val="0"/>
        </w:rPr>
        <w:t>what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research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methods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there</w:t>
      </w:r>
      <w:proofErr w:type="spellEnd"/>
      <w:r>
        <w:rPr>
          <w:b w:val="0"/>
        </w:rPr>
        <w:t xml:space="preserve"> are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how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conduct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interviews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world</w:t>
      </w:r>
      <w:proofErr w:type="spellEnd"/>
      <w:r>
        <w:rPr>
          <w:b w:val="0"/>
        </w:rPr>
        <w:t>.</w:t>
      </w:r>
    </w:p>
    <w:p w:rsidR="007571BB" w:rsidRDefault="00177DFC" w:rsidP="006A0D1D">
      <w:pPr>
        <w:pStyle w:val="Heading1"/>
        <w:ind w:left="0"/>
        <w:jc w:val="both"/>
      </w:pPr>
      <w:bookmarkStart w:id="0" w:name="_heading=h.k3mhr4e2wvsy" w:colFirst="0" w:colLast="0"/>
      <w:bookmarkEnd w:id="0"/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course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based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numerous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practical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real-life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cases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examples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tools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empathizing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other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field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research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gather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necessary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insights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people’s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needs</w:t>
      </w:r>
      <w:proofErr w:type="spellEnd"/>
      <w:r>
        <w:rPr>
          <w:b w:val="0"/>
        </w:rPr>
        <w:t xml:space="preserve">. It </w:t>
      </w:r>
      <w:proofErr w:type="spellStart"/>
      <w:r>
        <w:rPr>
          <w:b w:val="0"/>
        </w:rPr>
        <w:t>develops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skills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planning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conducting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research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applying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critical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thinking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decision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making</w:t>
      </w:r>
      <w:proofErr w:type="spellEnd"/>
      <w:r>
        <w:rPr>
          <w:b w:val="0"/>
        </w:rPr>
        <w:t xml:space="preserve">. </w:t>
      </w:r>
    </w:p>
    <w:p w:rsidR="007571BB" w:rsidRDefault="00177DFC" w:rsidP="006A0D1D">
      <w:pPr>
        <w:pStyle w:val="Heading1"/>
        <w:ind w:left="0"/>
        <w:jc w:val="both"/>
        <w:rPr>
          <w:b w:val="0"/>
        </w:rPr>
      </w:pP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course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overview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Design </w:t>
      </w:r>
      <w:proofErr w:type="spellStart"/>
      <w:r>
        <w:rPr>
          <w:b w:val="0"/>
        </w:rPr>
        <w:t>Thinking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frameworks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research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methods</w:t>
      </w:r>
      <w:proofErr w:type="spellEnd"/>
      <w:r>
        <w:rPr>
          <w:b w:val="0"/>
        </w:rPr>
        <w:t xml:space="preserve"> to </w:t>
      </w:r>
      <w:proofErr w:type="spellStart"/>
      <w:r>
        <w:rPr>
          <w:b w:val="0"/>
        </w:rPr>
        <w:t>enhance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students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throughout</w:t>
      </w:r>
      <w:proofErr w:type="spellEnd"/>
      <w:r w:rsidR="006A0D1D">
        <w:rPr>
          <w:b w:val="0"/>
        </w:rPr>
        <w:t xml:space="preserve"> </w:t>
      </w:r>
      <w:proofErr w:type="spellStart"/>
      <w:r w:rsidR="006A0D1D">
        <w:rPr>
          <w:b w:val="0"/>
        </w:rPr>
        <w:t>the</w:t>
      </w:r>
      <w:proofErr w:type="spellEnd"/>
      <w:r w:rsidR="006A0D1D">
        <w:rPr>
          <w:b w:val="0"/>
        </w:rPr>
        <w:t xml:space="preserve"> </w:t>
      </w:r>
      <w:proofErr w:type="spellStart"/>
      <w:r w:rsidR="006A0D1D">
        <w:rPr>
          <w:b w:val="0"/>
        </w:rPr>
        <w:t>continuous</w:t>
      </w:r>
      <w:proofErr w:type="spellEnd"/>
      <w:r w:rsidR="006A0D1D">
        <w:rPr>
          <w:b w:val="0"/>
        </w:rPr>
        <w:t xml:space="preserve"> </w:t>
      </w:r>
      <w:proofErr w:type="spellStart"/>
      <w:r w:rsidR="006A0D1D">
        <w:rPr>
          <w:b w:val="0"/>
        </w:rPr>
        <w:t>complex</w:t>
      </w:r>
      <w:proofErr w:type="spellEnd"/>
      <w:r w:rsidR="006A0D1D">
        <w:rPr>
          <w:b w:val="0"/>
        </w:rPr>
        <w:t xml:space="preserve"> </w:t>
      </w:r>
      <w:proofErr w:type="spellStart"/>
      <w:r w:rsidR="006A0D1D">
        <w:rPr>
          <w:b w:val="0"/>
        </w:rPr>
        <w:t>project</w:t>
      </w:r>
      <w:proofErr w:type="spellEnd"/>
      <w:r w:rsidR="006A0D1D">
        <w:rPr>
          <w:b w:val="0"/>
        </w:rPr>
        <w:t>.</w:t>
      </w:r>
      <w:r>
        <w:rPr>
          <w:b w:val="0"/>
        </w:rPr>
        <w:t xml:space="preserve"> </w:t>
      </w:r>
    </w:p>
    <w:p w:rsidR="007571BB" w:rsidRDefault="007571BB">
      <w:pPr>
        <w:pStyle w:val="Heading1"/>
        <w:ind w:firstLine="192"/>
      </w:pPr>
    </w:p>
    <w:p w:rsidR="007571BB" w:rsidRDefault="00177DFC" w:rsidP="006A0D1D">
      <w:pPr>
        <w:pStyle w:val="Heading1"/>
        <w:ind w:left="0"/>
      </w:pPr>
      <w:proofErr w:type="spellStart"/>
      <w:r>
        <w:t>Aims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7571BB" w:rsidRDefault="007571BB">
      <w:pPr>
        <w:pStyle w:val="Heading1"/>
        <w:ind w:firstLine="192"/>
      </w:pPr>
    </w:p>
    <w:p w:rsidR="007571BB" w:rsidRDefault="00177DFC" w:rsidP="006A0D1D">
      <w:pPr>
        <w:pBdr>
          <w:top w:val="nil"/>
          <w:left w:val="nil"/>
          <w:bottom w:val="nil"/>
          <w:right w:val="nil"/>
          <w:between w:val="nil"/>
        </w:pBdr>
        <w:spacing w:before="5"/>
        <w:ind w:right="108"/>
        <w:jc w:val="both"/>
        <w:rPr>
          <w:rFonts w:cs="Arial"/>
          <w:color w:val="000000"/>
          <w:sz w:val="18"/>
          <w:szCs w:val="18"/>
        </w:rPr>
      </w:pP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course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focuses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understanding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Design</w:t>
      </w:r>
      <w:r>
        <w:rPr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Thinking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approach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various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frameworks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application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of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design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thinking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approach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in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business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development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creating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services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products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order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sustain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competitive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advantage</w:t>
      </w:r>
      <w:proofErr w:type="spellEnd"/>
      <w:r>
        <w:rPr>
          <w:rFonts w:cs="Arial"/>
          <w:color w:val="000000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After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describing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concept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of</w:t>
      </w:r>
      <w:proofErr w:type="spellEnd"/>
      <w:r>
        <w:rPr>
          <w:rFonts w:cs="Arial"/>
          <w:color w:val="000000"/>
          <w:sz w:val="18"/>
          <w:szCs w:val="18"/>
        </w:rPr>
        <w:t xml:space="preserve"> Design </w:t>
      </w:r>
      <w:proofErr w:type="spellStart"/>
      <w:r>
        <w:rPr>
          <w:sz w:val="18"/>
          <w:szCs w:val="18"/>
        </w:rPr>
        <w:t>Thinking</w:t>
      </w:r>
      <w:proofErr w:type="spellEnd"/>
      <w:r>
        <w:rPr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course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will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focus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three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main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areas</w:t>
      </w:r>
      <w:proofErr w:type="spellEnd"/>
      <w:r>
        <w:rPr>
          <w:rFonts w:cs="Arial"/>
          <w:color w:val="000000"/>
          <w:sz w:val="18"/>
          <w:szCs w:val="18"/>
        </w:rPr>
        <w:t xml:space="preserve">: </w:t>
      </w:r>
      <w:proofErr w:type="spellStart"/>
      <w:r>
        <w:rPr>
          <w:rFonts w:cs="Arial"/>
          <w:color w:val="000000"/>
          <w:sz w:val="18"/>
          <w:szCs w:val="18"/>
        </w:rPr>
        <w:t>defining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problem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p</w:t>
      </w:r>
      <w:r>
        <w:rPr>
          <w:sz w:val="18"/>
          <w:szCs w:val="18"/>
        </w:rPr>
        <w:t>lanning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executing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summarizing</w:t>
      </w:r>
      <w:proofErr w:type="spellEnd"/>
      <w:r>
        <w:rPr>
          <w:sz w:val="18"/>
          <w:szCs w:val="18"/>
        </w:rPr>
        <w:t xml:space="preserve"> data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decision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making</w:t>
      </w:r>
      <w:proofErr w:type="spellEnd"/>
      <w:r>
        <w:rPr>
          <w:sz w:val="18"/>
          <w:szCs w:val="18"/>
        </w:rPr>
        <w:t>.</w:t>
      </w:r>
    </w:p>
    <w:p w:rsidR="007571BB" w:rsidRDefault="007571BB">
      <w:pPr>
        <w:pStyle w:val="Heading1"/>
        <w:ind w:firstLine="192"/>
      </w:pPr>
    </w:p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5"/>
        <w:ind w:left="192" w:right="108"/>
        <w:jc w:val="both"/>
        <w:rPr>
          <w:rFonts w:cs="Arial"/>
          <w:color w:val="000000"/>
          <w:sz w:val="18"/>
          <w:szCs w:val="18"/>
        </w:rPr>
      </w:pPr>
    </w:p>
    <w:p w:rsidR="007571BB" w:rsidRDefault="00177DFC" w:rsidP="006A0D1D">
      <w:pPr>
        <w:pStyle w:val="Heading1"/>
        <w:ind w:left="0"/>
      </w:pP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</w:p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cs="Arial"/>
          <w:b/>
          <w:color w:val="000000"/>
          <w:sz w:val="18"/>
          <w:szCs w:val="18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3"/>
        <w:gridCol w:w="3207"/>
        <w:gridCol w:w="3130"/>
      </w:tblGrid>
      <w:tr w:rsidR="007571BB" w:rsidTr="006A0D1D">
        <w:trPr>
          <w:trHeight w:val="205"/>
        </w:trPr>
        <w:tc>
          <w:tcPr>
            <w:tcW w:w="1809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learning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outcomes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(CLO)</w:t>
            </w:r>
          </w:p>
        </w:tc>
        <w:tc>
          <w:tcPr>
            <w:tcW w:w="1615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methods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7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Assessment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methods</w:t>
            </w:r>
            <w:proofErr w:type="spellEnd"/>
          </w:p>
        </w:tc>
      </w:tr>
      <w:tr w:rsidR="007571BB" w:rsidTr="006A0D1D">
        <w:trPr>
          <w:trHeight w:val="621"/>
        </w:trPr>
        <w:tc>
          <w:tcPr>
            <w:tcW w:w="1809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O1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be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define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design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thinking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process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5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9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Group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project</w:t>
            </w:r>
            <w:proofErr w:type="spellEnd"/>
          </w:p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Reflection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discussions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Final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exam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group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task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</w:p>
        </w:tc>
      </w:tr>
      <w:tr w:rsidR="007571BB" w:rsidTr="006A0D1D">
        <w:trPr>
          <w:trHeight w:val="411"/>
        </w:trPr>
        <w:tc>
          <w:tcPr>
            <w:tcW w:w="1809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O2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be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formulate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business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user-related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assumptions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define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plan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verify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assump</w:t>
            </w:r>
            <w:r>
              <w:rPr>
                <w:sz w:val="18"/>
                <w:szCs w:val="18"/>
              </w:rPr>
              <w:t>tions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needed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decisions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5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study</w:t>
            </w:r>
            <w:proofErr w:type="spellEnd"/>
          </w:p>
          <w:p w:rsidR="007571BB" w:rsidRDefault="00177DFC">
            <w:pPr>
              <w:ind w:left="110" w:right="1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</w:p>
          <w:p w:rsidR="007571BB" w:rsidRDefault="00177DFC">
            <w:pPr>
              <w:spacing w:before="2" w:line="187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reflecting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discussions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spacing w:before="2" w:line="206" w:lineRule="auto"/>
              <w:ind w:left="107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</w:p>
        </w:tc>
      </w:tr>
      <w:tr w:rsidR="007571BB" w:rsidTr="006A0D1D">
        <w:trPr>
          <w:trHeight w:val="445"/>
        </w:trPr>
        <w:tc>
          <w:tcPr>
            <w:tcW w:w="1809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O3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understand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advantages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disadvantages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various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qualitative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quantitative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methods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conduct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using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relevant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tools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5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study</w:t>
            </w:r>
            <w:proofErr w:type="spellEnd"/>
          </w:p>
          <w:p w:rsidR="007571BB" w:rsidRDefault="00177DFC">
            <w:pPr>
              <w:ind w:left="110" w:right="1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</w:p>
          <w:p w:rsidR="007571BB" w:rsidRDefault="00177DFC">
            <w:pPr>
              <w:spacing w:before="2" w:line="187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reflecting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discussions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spacing w:line="206" w:lineRule="auto"/>
              <w:ind w:left="107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</w:p>
        </w:tc>
      </w:tr>
      <w:tr w:rsidR="007571BB" w:rsidTr="006A0D1D">
        <w:trPr>
          <w:trHeight w:val="619"/>
        </w:trPr>
        <w:tc>
          <w:tcPr>
            <w:tcW w:w="1809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O4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be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to link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human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needs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possibilities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requirements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business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success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615" w:type="pct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Individual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Reading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discussions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spacing w:line="206" w:lineRule="auto"/>
              <w:ind w:left="107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</w:p>
        </w:tc>
      </w:tr>
      <w:tr w:rsidR="007571BB" w:rsidTr="006A0D1D">
        <w:trPr>
          <w:trHeight w:val="619"/>
        </w:trPr>
        <w:tc>
          <w:tcPr>
            <w:tcW w:w="1809" w:type="pct"/>
          </w:tcPr>
          <w:p w:rsidR="007571BB" w:rsidRDefault="00177DFC">
            <w:pPr>
              <w:widowControl/>
              <w:spacing w:line="216" w:lineRule="auto"/>
              <w:ind w:left="9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CLO5</w:t>
            </w:r>
            <w:r>
              <w:rPr>
                <w:sz w:val="18"/>
                <w:szCs w:val="18"/>
              </w:rPr>
              <w:t xml:space="preserve">. To </w:t>
            </w:r>
            <w:proofErr w:type="spellStart"/>
            <w:r>
              <w:rPr>
                <w:sz w:val="18"/>
                <w:szCs w:val="18"/>
              </w:rPr>
              <w:t>identify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understand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potential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ethical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empirical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analytical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problems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plaguing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process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ways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overcome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15" w:type="pct"/>
          </w:tcPr>
          <w:p w:rsidR="007571BB" w:rsidRDefault="00177DFC">
            <w:pPr>
              <w:spacing w:line="206" w:lineRule="auto"/>
              <w:ind w:left="11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  <w:p w:rsidR="007571BB" w:rsidRDefault="00177DFC">
            <w:pPr>
              <w:ind w:left="110" w:right="1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</w:p>
          <w:p w:rsidR="007571BB" w:rsidRDefault="00177DFC">
            <w:pPr>
              <w:spacing w:before="2" w:line="187" w:lineRule="auto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Practicing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reflecting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discussions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spacing w:line="206" w:lineRule="auto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individual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</w:p>
        </w:tc>
      </w:tr>
      <w:tr w:rsidR="007571BB" w:rsidTr="006A0D1D">
        <w:trPr>
          <w:trHeight w:val="619"/>
        </w:trPr>
        <w:tc>
          <w:tcPr>
            <w:tcW w:w="1809" w:type="pct"/>
          </w:tcPr>
          <w:p w:rsidR="007571BB" w:rsidRDefault="00177DFC">
            <w:pPr>
              <w:widowControl/>
              <w:spacing w:line="216" w:lineRule="auto"/>
              <w:ind w:left="18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CLO6.</w:t>
            </w:r>
            <w:r>
              <w:rPr>
                <w:sz w:val="18"/>
                <w:szCs w:val="18"/>
              </w:rPr>
              <w:t xml:space="preserve"> To be </w:t>
            </w:r>
            <w:proofErr w:type="spellStart"/>
            <w:r>
              <w:rPr>
                <w:sz w:val="18"/>
                <w:szCs w:val="18"/>
              </w:rPr>
              <w:t>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critically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evaluate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people’s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findings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process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used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obtain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15" w:type="pct"/>
          </w:tcPr>
          <w:p w:rsidR="007571BB" w:rsidRDefault="00177DFC">
            <w:pPr>
              <w:widowControl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seminars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group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</w:p>
        </w:tc>
        <w:tc>
          <w:tcPr>
            <w:tcW w:w="1577" w:type="pct"/>
          </w:tcPr>
          <w:p w:rsidR="007571BB" w:rsidRDefault="00177DFC">
            <w:pPr>
              <w:widowControl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reflection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feedback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groups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projects</w:t>
            </w:r>
            <w:proofErr w:type="spellEnd"/>
          </w:p>
        </w:tc>
      </w:tr>
    </w:tbl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cs="Arial"/>
          <w:b/>
          <w:color w:val="000000"/>
          <w:sz w:val="18"/>
          <w:szCs w:val="18"/>
        </w:rPr>
      </w:pPr>
    </w:p>
    <w:p w:rsidR="007571BB" w:rsidRDefault="00177DFC" w:rsidP="006A0D1D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lastRenderedPageBreak/>
        <w:t>Learning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methods</w:t>
      </w:r>
      <w:proofErr w:type="spellEnd"/>
    </w:p>
    <w:p w:rsidR="006A0D1D" w:rsidRDefault="006A0D1D" w:rsidP="006A0D1D">
      <w:pPr>
        <w:rPr>
          <w:b/>
          <w:sz w:val="18"/>
          <w:szCs w:val="18"/>
        </w:rPr>
      </w:pPr>
    </w:p>
    <w:p w:rsidR="007571BB" w:rsidRDefault="00177DFC" w:rsidP="006A0D1D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="Arial"/>
          <w:color w:val="000000"/>
          <w:sz w:val="18"/>
          <w:szCs w:val="18"/>
        </w:rPr>
      </w:pPr>
      <w:proofErr w:type="spellStart"/>
      <w:r>
        <w:rPr>
          <w:rFonts w:cs="Arial"/>
          <w:color w:val="000000"/>
          <w:sz w:val="18"/>
          <w:szCs w:val="18"/>
        </w:rPr>
        <w:t>This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course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will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expose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students</w:t>
      </w:r>
      <w:proofErr w:type="spellEnd"/>
      <w:r>
        <w:rPr>
          <w:rFonts w:cs="Arial"/>
          <w:color w:val="000000"/>
          <w:sz w:val="18"/>
          <w:szCs w:val="18"/>
        </w:rPr>
        <w:t xml:space="preserve"> to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main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concepts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best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practices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qualitative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quantitative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tools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of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>. G</w:t>
      </w:r>
      <w:r>
        <w:rPr>
          <w:rFonts w:cs="Arial"/>
          <w:color w:val="000000"/>
          <w:sz w:val="18"/>
          <w:szCs w:val="18"/>
        </w:rPr>
        <w:t xml:space="preserve">roup </w:t>
      </w:r>
      <w:proofErr w:type="spellStart"/>
      <w:r>
        <w:rPr>
          <w:rFonts w:cs="Arial"/>
          <w:color w:val="000000"/>
          <w:sz w:val="18"/>
          <w:szCs w:val="18"/>
        </w:rPr>
        <w:t>project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based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on</w:t>
      </w:r>
      <w:proofErr w:type="spellEnd"/>
      <w:r>
        <w:rPr>
          <w:rFonts w:cs="Arial"/>
          <w:color w:val="000000"/>
          <w:sz w:val="18"/>
          <w:szCs w:val="18"/>
        </w:rPr>
        <w:t xml:space="preserve"> Design </w:t>
      </w:r>
      <w:proofErr w:type="spellStart"/>
      <w:r>
        <w:rPr>
          <w:rFonts w:cs="Arial"/>
          <w:color w:val="000000"/>
          <w:sz w:val="18"/>
          <w:szCs w:val="18"/>
        </w:rPr>
        <w:t>Thinking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additional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readings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reflection</w:t>
      </w:r>
      <w:proofErr w:type="spellEnd"/>
      <w:r>
        <w:rPr>
          <w:rFonts w:cs="Arial"/>
          <w:color w:val="000000"/>
          <w:sz w:val="18"/>
          <w:szCs w:val="18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discussions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will</w:t>
      </w:r>
      <w:proofErr w:type="spellEnd"/>
      <w:r>
        <w:rPr>
          <w:rFonts w:cs="Arial"/>
          <w:color w:val="000000"/>
          <w:sz w:val="18"/>
          <w:szCs w:val="18"/>
        </w:rPr>
        <w:t xml:space="preserve"> be </w:t>
      </w:r>
      <w:proofErr w:type="spellStart"/>
      <w:r>
        <w:rPr>
          <w:rFonts w:cs="Arial"/>
          <w:color w:val="000000"/>
          <w:sz w:val="18"/>
          <w:szCs w:val="18"/>
        </w:rPr>
        <w:t>used</w:t>
      </w:r>
      <w:proofErr w:type="spellEnd"/>
      <w:r>
        <w:rPr>
          <w:rFonts w:cs="Arial"/>
          <w:color w:val="000000"/>
          <w:sz w:val="18"/>
          <w:szCs w:val="18"/>
        </w:rPr>
        <w:t xml:space="preserve"> to </w:t>
      </w:r>
      <w:proofErr w:type="spellStart"/>
      <w:r>
        <w:rPr>
          <w:rFonts w:cs="Arial"/>
          <w:color w:val="000000"/>
          <w:sz w:val="18"/>
          <w:szCs w:val="18"/>
        </w:rPr>
        <w:t>reinforce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learnings</w:t>
      </w:r>
      <w:proofErr w:type="spellEnd"/>
      <w:r>
        <w:rPr>
          <w:rFonts w:cs="Arial"/>
          <w:color w:val="000000"/>
          <w:sz w:val="18"/>
          <w:szCs w:val="18"/>
        </w:rPr>
        <w:t>.</w:t>
      </w:r>
    </w:p>
    <w:p w:rsidR="006A0D1D" w:rsidRDefault="006A0D1D" w:rsidP="006A0D1D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="Arial"/>
          <w:color w:val="000000"/>
          <w:sz w:val="18"/>
          <w:szCs w:val="18"/>
        </w:rPr>
      </w:pPr>
    </w:p>
    <w:p w:rsidR="007571BB" w:rsidRDefault="00177DFC" w:rsidP="006A0D1D">
      <w:pPr>
        <w:pStyle w:val="Heading1"/>
        <w:spacing w:before="1"/>
        <w:ind w:left="0"/>
      </w:pPr>
      <w:proofErr w:type="spellStart"/>
      <w:r>
        <w:t>Cheating</w:t>
      </w:r>
      <w:proofErr w:type="spellEnd"/>
      <w:r>
        <w:t xml:space="preserve"> </w:t>
      </w:r>
      <w:proofErr w:type="spellStart"/>
      <w:r>
        <w:t>issues</w:t>
      </w:r>
      <w:proofErr w:type="spellEnd"/>
    </w:p>
    <w:p w:rsidR="006A0D1D" w:rsidRDefault="006A0D1D" w:rsidP="006A0D1D">
      <w:pPr>
        <w:pStyle w:val="Heading1"/>
        <w:spacing w:before="1"/>
        <w:ind w:left="0"/>
      </w:pPr>
    </w:p>
    <w:p w:rsidR="007571BB" w:rsidRDefault="00177DFC" w:rsidP="006A0D1D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cs="Arial"/>
          <w:color w:val="000000"/>
          <w:sz w:val="18"/>
          <w:szCs w:val="18"/>
        </w:rPr>
      </w:pP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teaching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and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testing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methods</w:t>
      </w:r>
      <w:proofErr w:type="spellEnd"/>
      <w:r>
        <w:rPr>
          <w:rFonts w:cs="Arial"/>
          <w:color w:val="000000"/>
          <w:sz w:val="18"/>
          <w:szCs w:val="18"/>
        </w:rPr>
        <w:t xml:space="preserve"> are </w:t>
      </w:r>
      <w:proofErr w:type="spellStart"/>
      <w:r>
        <w:rPr>
          <w:rFonts w:cs="Arial"/>
          <w:color w:val="000000"/>
          <w:sz w:val="18"/>
          <w:szCs w:val="18"/>
        </w:rPr>
        <w:t>chosen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taking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into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account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purpose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of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minimization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of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cheating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opportunities</w:t>
      </w:r>
      <w:proofErr w:type="spellEnd"/>
      <w:r>
        <w:rPr>
          <w:rFonts w:cs="Arial"/>
          <w:color w:val="000000"/>
          <w:sz w:val="18"/>
          <w:szCs w:val="18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ISM </w:t>
      </w:r>
      <w:proofErr w:type="spellStart"/>
      <w:r>
        <w:rPr>
          <w:rFonts w:cs="Arial"/>
          <w:color w:val="000000"/>
          <w:sz w:val="18"/>
          <w:szCs w:val="18"/>
        </w:rPr>
        <w:t>regulations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on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academic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ethics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will</w:t>
      </w:r>
      <w:proofErr w:type="spellEnd"/>
      <w:r>
        <w:rPr>
          <w:rFonts w:cs="Arial"/>
          <w:color w:val="000000"/>
          <w:sz w:val="18"/>
          <w:szCs w:val="18"/>
        </w:rPr>
        <w:t xml:space="preserve"> be </w:t>
      </w:r>
      <w:proofErr w:type="spellStart"/>
      <w:r>
        <w:rPr>
          <w:rFonts w:cs="Arial"/>
          <w:color w:val="000000"/>
          <w:sz w:val="18"/>
          <w:szCs w:val="18"/>
        </w:rPr>
        <w:t>fully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applied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in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the</w:t>
      </w:r>
      <w:proofErr w:type="spellEnd"/>
      <w:r>
        <w:rPr>
          <w:rFonts w:cs="Arial"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</w:rPr>
        <w:t>course</w:t>
      </w:r>
      <w:proofErr w:type="spellEnd"/>
      <w:r>
        <w:rPr>
          <w:rFonts w:cs="Arial"/>
          <w:color w:val="000000"/>
          <w:sz w:val="18"/>
          <w:szCs w:val="18"/>
        </w:rPr>
        <w:t>.</w:t>
      </w:r>
    </w:p>
    <w:p w:rsidR="007571BB" w:rsidRDefault="007571BB">
      <w:pPr>
        <w:pStyle w:val="Heading1"/>
        <w:spacing w:before="144" w:after="8"/>
        <w:ind w:left="0"/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7"/>
        <w:gridCol w:w="5972"/>
        <w:gridCol w:w="1589"/>
        <w:gridCol w:w="1442"/>
      </w:tblGrid>
      <w:tr w:rsidR="007571BB" w:rsidTr="006A0D1D">
        <w:trPr>
          <w:trHeight w:val="563"/>
        </w:trPr>
        <w:tc>
          <w:tcPr>
            <w:tcW w:w="467" w:type="pct"/>
            <w:vMerge w:val="restart"/>
            <w:shd w:val="clear" w:color="auto" w:fill="EEECE1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Week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and</w:t>
            </w:r>
            <w:proofErr w:type="spellEnd"/>
          </w:p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class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007" w:type="pct"/>
            <w:vMerge w:val="restart"/>
            <w:shd w:val="clear" w:color="auto" w:fill="EEECE1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TOPIC (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Lectures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26" w:type="pct"/>
            <w:gridSpan w:val="2"/>
            <w:shd w:val="clear" w:color="auto" w:fill="EDEBE0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IN-CLASS HOURS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Merge/>
            <w:shd w:val="clear" w:color="auto" w:fill="EEECE1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7" w:type="pct"/>
            <w:vMerge/>
            <w:shd w:val="clear" w:color="auto" w:fill="EEECE1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Lectures</w:t>
            </w:r>
            <w:proofErr w:type="spellEnd"/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Seminars</w:t>
            </w:r>
            <w:proofErr w:type="spellEnd"/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Introduction</w:t>
            </w:r>
            <w:proofErr w:type="spellEnd"/>
            <w:r>
              <w:rPr>
                <w:sz w:val="18"/>
                <w:szCs w:val="18"/>
              </w:rPr>
              <w:t xml:space="preserve"> to Design </w:t>
            </w:r>
            <w:proofErr w:type="spellStart"/>
            <w:r>
              <w:rPr>
                <w:sz w:val="18"/>
                <w:szCs w:val="18"/>
              </w:rPr>
              <w:t>Thinking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Methodology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mindset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Models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Design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Thinking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. Design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Thinking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Innovation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6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defining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problem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Human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approach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Survey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Canvas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ind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Qualitative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methods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tools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  <w:proofErr w:type="spellStart"/>
            <w:r>
              <w:rPr>
                <w:sz w:val="18"/>
                <w:szCs w:val="18"/>
              </w:rPr>
              <w:t>Empathy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Mapping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Canvas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Interview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observation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experiment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shadowing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antropology</w:t>
            </w:r>
            <w:proofErr w:type="spellEnd"/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6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Quantitative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methods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tools.Surveys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</w:t>
            </w:r>
            <w:proofErr w:type="spellStart"/>
            <w:r>
              <w:rPr>
                <w:sz w:val="18"/>
                <w:szCs w:val="18"/>
              </w:rPr>
              <w:t>work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Empathize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Define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Ideate</w:t>
            </w:r>
            <w:proofErr w:type="spellEnd"/>
          </w:p>
        </w:tc>
        <w:tc>
          <w:tcPr>
            <w:tcW w:w="800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Examples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Design </w:t>
            </w:r>
            <w:proofErr w:type="spellStart"/>
            <w:r>
              <w:rPr>
                <w:sz w:val="18"/>
                <w:szCs w:val="18"/>
              </w:rPr>
              <w:t>Thinking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product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development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service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design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organization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digital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transformation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entrepreneurship</w:t>
            </w:r>
            <w:proofErr w:type="spellEnd"/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6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Social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responsibility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ethics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research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Avoiding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bias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ind w:right="113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presentations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00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571BB" w:rsidTr="006A0D1D">
        <w:trPr>
          <w:trHeight w:val="563"/>
        </w:trPr>
        <w:tc>
          <w:tcPr>
            <w:tcW w:w="467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7" w:type="pct"/>
            <w:vAlign w:val="center"/>
          </w:tcPr>
          <w:p w:rsidR="007571BB" w:rsidRDefault="00177DFC">
            <w:pPr>
              <w:ind w:right="113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Review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session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00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6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571BB" w:rsidTr="006A0D1D">
        <w:trPr>
          <w:trHeight w:val="563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Total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24</w:t>
            </w:r>
          </w:p>
        </w:tc>
      </w:tr>
    </w:tbl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cs="Arial"/>
          <w:b/>
          <w:color w:val="000000"/>
          <w:sz w:val="18"/>
          <w:szCs w:val="18"/>
        </w:rPr>
      </w:pPr>
    </w:p>
    <w:p w:rsidR="007571BB" w:rsidRDefault="00177DFC" w:rsidP="006A0D1D">
      <w:pPr>
        <w:spacing w:before="95" w:after="5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Individual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work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group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work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and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assessment</w:t>
      </w:r>
      <w:proofErr w:type="spellEnd"/>
      <w:r>
        <w:rPr>
          <w:b/>
          <w:sz w:val="18"/>
          <w:szCs w:val="18"/>
        </w:rPr>
        <w:t>:</w:t>
      </w:r>
    </w:p>
    <w:p w:rsidR="006A0D1D" w:rsidRDefault="006A0D1D" w:rsidP="006A0D1D">
      <w:pPr>
        <w:spacing w:before="95" w:after="5"/>
        <w:rPr>
          <w:b/>
          <w:sz w:val="18"/>
          <w:szCs w:val="18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2"/>
        <w:gridCol w:w="1758"/>
      </w:tblGrid>
      <w:tr w:rsidR="007571BB" w:rsidTr="006A0D1D">
        <w:trPr>
          <w:trHeight w:val="551"/>
        </w:trPr>
        <w:tc>
          <w:tcPr>
            <w:tcW w:w="4115" w:type="pct"/>
            <w:vAlign w:val="center"/>
          </w:tcPr>
          <w:p w:rsidR="007571BB" w:rsidRDefault="00757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88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EVALUATION</w:t>
            </w:r>
          </w:p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(%)</w:t>
            </w:r>
          </w:p>
        </w:tc>
      </w:tr>
      <w:tr w:rsidR="007571BB" w:rsidTr="006A0D1D">
        <w:trPr>
          <w:trHeight w:val="328"/>
        </w:trPr>
        <w:tc>
          <w:tcPr>
            <w:tcW w:w="411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Personal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essay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pct"/>
            <w:vAlign w:val="center"/>
          </w:tcPr>
          <w:p w:rsidR="007571BB" w:rsidRDefault="00177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</w:tr>
      <w:tr w:rsidR="007571BB" w:rsidTr="006A0D1D">
        <w:trPr>
          <w:trHeight w:val="328"/>
        </w:trPr>
        <w:tc>
          <w:tcPr>
            <w:tcW w:w="411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In-class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contribution</w:t>
            </w:r>
            <w:proofErr w:type="spellEnd"/>
          </w:p>
        </w:tc>
        <w:tc>
          <w:tcPr>
            <w:tcW w:w="885" w:type="pct"/>
            <w:vAlign w:val="center"/>
          </w:tcPr>
          <w:p w:rsidR="007571BB" w:rsidRDefault="00177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</w:tr>
      <w:tr w:rsidR="007571BB" w:rsidTr="006A0D1D">
        <w:trPr>
          <w:trHeight w:val="414"/>
        </w:trPr>
        <w:tc>
          <w:tcPr>
            <w:tcW w:w="411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Final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88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7571BB" w:rsidTr="006A0D1D">
        <w:trPr>
          <w:trHeight w:val="405"/>
        </w:trPr>
        <w:tc>
          <w:tcPr>
            <w:tcW w:w="411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Group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88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7571BB" w:rsidTr="006A0D1D">
        <w:trPr>
          <w:trHeight w:val="405"/>
        </w:trPr>
        <w:tc>
          <w:tcPr>
            <w:tcW w:w="411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885" w:type="pct"/>
            <w:vAlign w:val="center"/>
          </w:tcPr>
          <w:p w:rsidR="007571BB" w:rsidRDefault="0017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1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100%</w:t>
            </w:r>
          </w:p>
        </w:tc>
      </w:tr>
    </w:tbl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 w:val="18"/>
          <w:szCs w:val="18"/>
        </w:rPr>
      </w:pPr>
    </w:p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cs="Arial"/>
          <w:b/>
          <w:color w:val="000000"/>
          <w:sz w:val="18"/>
          <w:szCs w:val="18"/>
        </w:rPr>
      </w:pPr>
    </w:p>
    <w:p w:rsidR="007571BB" w:rsidRDefault="00177DFC">
      <w:pPr>
        <w:shd w:val="clear" w:color="auto" w:fill="FFFFFF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Course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requirements</w:t>
      </w:r>
      <w:proofErr w:type="spellEnd"/>
      <w:r>
        <w:rPr>
          <w:b/>
          <w:sz w:val="18"/>
          <w:szCs w:val="18"/>
        </w:rPr>
        <w:t>:</w:t>
      </w:r>
    </w:p>
    <w:p w:rsidR="007571BB" w:rsidRDefault="007571BB">
      <w:pPr>
        <w:shd w:val="clear" w:color="auto" w:fill="FFFFFF"/>
        <w:rPr>
          <w:sz w:val="18"/>
          <w:szCs w:val="18"/>
        </w:rPr>
      </w:pP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The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final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exam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account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30%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. It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consist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essay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questions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based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presented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classes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seminars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required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readings</w:t>
      </w:r>
      <w:proofErr w:type="spellEnd"/>
      <w:r>
        <w:rPr>
          <w:sz w:val="18"/>
          <w:szCs w:val="18"/>
        </w:rPr>
        <w:t>.</w:t>
      </w:r>
    </w:p>
    <w:p w:rsidR="007571BB" w:rsidRDefault="007571BB">
      <w:pPr>
        <w:shd w:val="clear" w:color="auto" w:fill="FFFFFF"/>
        <w:jc w:val="both"/>
        <w:rPr>
          <w:sz w:val="18"/>
          <w:szCs w:val="18"/>
        </w:rPr>
      </w:pP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The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in-class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contribution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account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20%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. It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include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participation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discussions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topic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lecture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participation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individual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problem-solving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tasks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 are </w:t>
      </w:r>
      <w:proofErr w:type="spellStart"/>
      <w:r>
        <w:rPr>
          <w:sz w:val="18"/>
          <w:szCs w:val="18"/>
        </w:rPr>
        <w:t>expected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read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provided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individually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before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coming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class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prepared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discuss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various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topicsrelated</w:t>
      </w:r>
      <w:proofErr w:type="spellEnd"/>
      <w:r>
        <w:rPr>
          <w:sz w:val="18"/>
          <w:szCs w:val="18"/>
        </w:rPr>
        <w:t xml:space="preserve"> to Design </w:t>
      </w:r>
      <w:proofErr w:type="spellStart"/>
      <w:r>
        <w:rPr>
          <w:sz w:val="18"/>
          <w:szCs w:val="18"/>
        </w:rPr>
        <w:t>Thinking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fieldwork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7571BB" w:rsidRDefault="007571BB">
      <w:pPr>
        <w:pBdr>
          <w:top w:val="nil"/>
          <w:left w:val="nil"/>
          <w:bottom w:val="nil"/>
          <w:right w:val="nil"/>
          <w:between w:val="nil"/>
        </w:pBdr>
        <w:ind w:left="620" w:hanging="360"/>
        <w:rPr>
          <w:rFonts w:cs="Arial"/>
          <w:b/>
          <w:color w:val="000000"/>
          <w:sz w:val="18"/>
          <w:szCs w:val="18"/>
        </w:rPr>
      </w:pP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The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individual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essay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account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20%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. It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include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reflection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Design </w:t>
      </w:r>
      <w:proofErr w:type="spellStart"/>
      <w:r>
        <w:rPr>
          <w:sz w:val="18"/>
          <w:szCs w:val="18"/>
        </w:rPr>
        <w:t>Thinking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application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constructive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feedback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peers</w:t>
      </w:r>
      <w:proofErr w:type="spellEnd"/>
      <w:r>
        <w:rPr>
          <w:sz w:val="18"/>
          <w:szCs w:val="18"/>
        </w:rPr>
        <w:t xml:space="preserve">. </w:t>
      </w: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The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group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project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presentation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30%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. It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based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project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presentation</w:t>
      </w:r>
      <w:proofErr w:type="spellEnd"/>
      <w:r>
        <w:rPr>
          <w:sz w:val="18"/>
          <w:szCs w:val="18"/>
        </w:rPr>
        <w:t xml:space="preserve">. </w:t>
      </w:r>
    </w:p>
    <w:p w:rsidR="007571BB" w:rsidRDefault="007571BB">
      <w:pPr>
        <w:shd w:val="clear" w:color="auto" w:fill="FFFFFF"/>
        <w:jc w:val="both"/>
        <w:rPr>
          <w:b/>
          <w:sz w:val="18"/>
          <w:szCs w:val="18"/>
        </w:rPr>
      </w:pP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  <w:u w:val="single"/>
        </w:rPr>
        <w:t>Re-taking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of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the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final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exam</w:t>
      </w:r>
      <w:proofErr w:type="spellEnd"/>
      <w:r>
        <w:rPr>
          <w:b/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receive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failing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right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-take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exam</w:t>
      </w:r>
      <w:proofErr w:type="spellEnd"/>
      <w:r>
        <w:rPr>
          <w:sz w:val="18"/>
          <w:szCs w:val="18"/>
        </w:rPr>
        <w:t xml:space="preserve">.  It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b/>
          <w:sz w:val="18"/>
          <w:szCs w:val="18"/>
        </w:rPr>
        <w:t xml:space="preserve"> 30%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entire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course</w:t>
      </w:r>
      <w:proofErr w:type="spellEnd"/>
      <w:r>
        <w:rPr>
          <w:sz w:val="18"/>
          <w:szCs w:val="18"/>
        </w:rPr>
        <w:t xml:space="preserve">. </w:t>
      </w: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</w:t>
      </w:r>
      <w:proofErr w:type="spellEnd"/>
      <w:r>
        <w:rPr>
          <w:sz w:val="18"/>
          <w:szCs w:val="18"/>
        </w:rPr>
        <w:t xml:space="preserve">-take </w:t>
      </w:r>
      <w:proofErr w:type="spellStart"/>
      <w:r>
        <w:rPr>
          <w:sz w:val="18"/>
          <w:szCs w:val="18"/>
        </w:rPr>
        <w:t>Individual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essay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including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feedback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3 </w:t>
      </w:r>
      <w:proofErr w:type="spellStart"/>
      <w:r>
        <w:rPr>
          <w:sz w:val="18"/>
          <w:szCs w:val="18"/>
        </w:rPr>
        <w:t>peers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failing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grade</w:t>
      </w:r>
      <w:proofErr w:type="spellEnd"/>
      <w:r>
        <w:rPr>
          <w:sz w:val="18"/>
          <w:szCs w:val="18"/>
        </w:rPr>
        <w:t xml:space="preserve">.. </w:t>
      </w:r>
    </w:p>
    <w:p w:rsidR="007571BB" w:rsidRDefault="00177DFC">
      <w:pPr>
        <w:widowControl/>
        <w:numPr>
          <w:ilvl w:val="0"/>
          <w:numId w:val="1"/>
        </w:numPr>
        <w:shd w:val="clear" w:color="auto" w:fill="FFFFFF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The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group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assignments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and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activities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class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cannot</w:t>
      </w:r>
      <w:proofErr w:type="spellEnd"/>
      <w:r>
        <w:rPr>
          <w:b/>
          <w:sz w:val="18"/>
          <w:szCs w:val="18"/>
        </w:rPr>
        <w:t xml:space="preserve"> be </w:t>
      </w:r>
      <w:proofErr w:type="spellStart"/>
      <w:r>
        <w:rPr>
          <w:b/>
          <w:sz w:val="18"/>
          <w:szCs w:val="18"/>
        </w:rPr>
        <w:t>resubmitted</w:t>
      </w:r>
      <w:proofErr w:type="spellEnd"/>
      <w:r>
        <w:rPr>
          <w:b/>
          <w:sz w:val="18"/>
          <w:szCs w:val="18"/>
        </w:rPr>
        <w:t xml:space="preserve"> at a </w:t>
      </w:r>
      <w:proofErr w:type="spellStart"/>
      <w:r>
        <w:rPr>
          <w:b/>
          <w:sz w:val="18"/>
          <w:szCs w:val="18"/>
        </w:rPr>
        <w:t>later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time</w:t>
      </w:r>
      <w:proofErr w:type="spellEnd"/>
      <w:r>
        <w:rPr>
          <w:sz w:val="18"/>
          <w:szCs w:val="18"/>
        </w:rPr>
        <w:t>.</w:t>
      </w:r>
    </w:p>
    <w:p w:rsidR="007571BB" w:rsidRDefault="007571BB">
      <w:pPr>
        <w:pStyle w:val="Heading1"/>
        <w:ind w:firstLine="192"/>
      </w:pPr>
    </w:p>
    <w:p w:rsidR="007571BB" w:rsidRDefault="007571BB">
      <w:pPr>
        <w:pStyle w:val="Heading1"/>
        <w:ind w:firstLine="192"/>
      </w:pPr>
    </w:p>
    <w:p w:rsidR="007571BB" w:rsidRDefault="00177DFC" w:rsidP="006A0D1D">
      <w:pPr>
        <w:pStyle w:val="Heading1"/>
        <w:ind w:left="0"/>
      </w:pPr>
      <w:proofErr w:type="spellStart"/>
      <w:r>
        <w:t>Main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>:</w:t>
      </w: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2" w:name="_GoBack"/>
      <w:bookmarkEnd w:id="2"/>
      <w:r>
        <w:rPr>
          <w:sz w:val="18"/>
          <w:szCs w:val="18"/>
        </w:rPr>
        <w:tab/>
      </w: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proofErr w:type="spellStart"/>
      <w:r>
        <w:rPr>
          <w:sz w:val="18"/>
          <w:szCs w:val="18"/>
        </w:rPr>
        <w:t>Recommended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books</w:t>
      </w:r>
      <w:proofErr w:type="spellEnd"/>
      <w:r>
        <w:rPr>
          <w:sz w:val="18"/>
          <w:szCs w:val="18"/>
        </w:rPr>
        <w:t xml:space="preserve">: </w:t>
      </w:r>
    </w:p>
    <w:p w:rsidR="007571BB" w:rsidRDefault="007571BB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proofErr w:type="spellStart"/>
      <w:r>
        <w:rPr>
          <w:sz w:val="18"/>
          <w:szCs w:val="18"/>
        </w:rPr>
        <w:t>Babbie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Earl</w:t>
      </w:r>
      <w:proofErr w:type="spellEnd"/>
      <w:r>
        <w:rPr>
          <w:sz w:val="18"/>
          <w:szCs w:val="18"/>
        </w:rPr>
        <w:t xml:space="preserve">. 2007.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Practice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Social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. 11th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>. (</w:t>
      </w:r>
      <w:proofErr w:type="spellStart"/>
      <w:r>
        <w:rPr>
          <w:sz w:val="18"/>
          <w:szCs w:val="18"/>
        </w:rPr>
        <w:t>Intnl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student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.). Thomson/ </w:t>
      </w:r>
      <w:proofErr w:type="spellStart"/>
      <w:r>
        <w:rPr>
          <w:sz w:val="18"/>
          <w:szCs w:val="18"/>
        </w:rPr>
        <w:t>Wadsworth</w:t>
      </w:r>
      <w:proofErr w:type="spellEnd"/>
      <w:r>
        <w:rPr>
          <w:sz w:val="18"/>
          <w:szCs w:val="18"/>
        </w:rPr>
        <w:t>.</w:t>
      </w: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proofErr w:type="spellStart"/>
      <w:r>
        <w:rPr>
          <w:sz w:val="18"/>
          <w:szCs w:val="18"/>
        </w:rPr>
        <w:t>David</w:t>
      </w:r>
      <w:proofErr w:type="spellEnd"/>
      <w:r>
        <w:rPr>
          <w:sz w:val="18"/>
          <w:szCs w:val="18"/>
        </w:rPr>
        <w:t xml:space="preserve"> A. </w:t>
      </w:r>
      <w:proofErr w:type="spellStart"/>
      <w:r>
        <w:rPr>
          <w:sz w:val="18"/>
          <w:szCs w:val="18"/>
        </w:rPr>
        <w:t>Aaker</w:t>
      </w:r>
      <w:proofErr w:type="spellEnd"/>
      <w:r>
        <w:rPr>
          <w:sz w:val="18"/>
          <w:szCs w:val="18"/>
        </w:rPr>
        <w:t xml:space="preserve">, V. </w:t>
      </w:r>
      <w:proofErr w:type="spellStart"/>
      <w:r>
        <w:rPr>
          <w:sz w:val="18"/>
          <w:szCs w:val="18"/>
        </w:rPr>
        <w:t>Kumar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Robert</w:t>
      </w:r>
      <w:proofErr w:type="spellEnd"/>
      <w:r>
        <w:rPr>
          <w:sz w:val="18"/>
          <w:szCs w:val="18"/>
        </w:rPr>
        <w:t xml:space="preserve"> P. Leone, George S. </w:t>
      </w:r>
      <w:proofErr w:type="spellStart"/>
      <w:r>
        <w:rPr>
          <w:sz w:val="18"/>
          <w:szCs w:val="18"/>
        </w:rPr>
        <w:t>Day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Marketing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>, 11th Edition. 2012</w:t>
      </w:r>
    </w:p>
    <w:p w:rsidR="007571BB" w:rsidRDefault="007571BB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proofErr w:type="spellStart"/>
      <w:r>
        <w:rPr>
          <w:sz w:val="18"/>
          <w:szCs w:val="18"/>
        </w:rPr>
        <w:t>Articles</w:t>
      </w:r>
      <w:proofErr w:type="spellEnd"/>
      <w:r>
        <w:rPr>
          <w:sz w:val="18"/>
          <w:szCs w:val="18"/>
        </w:rPr>
        <w:t xml:space="preserve">: </w:t>
      </w:r>
    </w:p>
    <w:p w:rsidR="007571BB" w:rsidRDefault="006A0D1D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hyperlink r:id="rId8">
        <w:r w:rsidR="00177DFC">
          <w:rPr>
            <w:color w:val="1155CC"/>
            <w:sz w:val="18"/>
            <w:szCs w:val="18"/>
            <w:u w:val="single"/>
          </w:rPr>
          <w:t>https://hbr.org/2018/09/why-design-thinking-works</w:t>
        </w:r>
      </w:hyperlink>
      <w:r w:rsidR="00177DFC">
        <w:rPr>
          <w:sz w:val="18"/>
          <w:szCs w:val="18"/>
        </w:rPr>
        <w:t xml:space="preserve"> </w:t>
      </w: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r>
        <w:rPr>
          <w:sz w:val="18"/>
          <w:szCs w:val="18"/>
        </w:rPr>
        <w:t>https://medium.com/@elizabeth7hoffman/10-models-for-design-thinking-f6943e4ee068</w:t>
      </w:r>
    </w:p>
    <w:p w:rsidR="007571BB" w:rsidRDefault="007571BB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</w:p>
    <w:p w:rsidR="007571BB" w:rsidRDefault="00177DFC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  <w:proofErr w:type="spellStart"/>
      <w:r>
        <w:rPr>
          <w:sz w:val="18"/>
          <w:szCs w:val="18"/>
        </w:rPr>
        <w:t>Other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readings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will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provided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learning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platform</w:t>
      </w:r>
      <w:proofErr w:type="spellEnd"/>
      <w:r>
        <w:rPr>
          <w:sz w:val="18"/>
          <w:szCs w:val="18"/>
        </w:rPr>
        <w:t>.</w:t>
      </w:r>
    </w:p>
    <w:p w:rsidR="007571BB" w:rsidRDefault="007571BB">
      <w:pPr>
        <w:tabs>
          <w:tab w:val="left" w:pos="913"/>
          <w:tab w:val="left" w:pos="914"/>
        </w:tabs>
        <w:spacing w:before="1"/>
        <w:ind w:right="841"/>
        <w:rPr>
          <w:sz w:val="18"/>
          <w:szCs w:val="18"/>
        </w:rPr>
      </w:pPr>
    </w:p>
    <w:sectPr w:rsidR="007571BB">
      <w:headerReference w:type="default" r:id="rId9"/>
      <w:footerReference w:type="default" r:id="rId10"/>
      <w:pgSz w:w="11900" w:h="16850"/>
      <w:pgMar w:top="1660" w:right="1020" w:bottom="1200" w:left="940" w:header="715" w:footer="101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FC" w:rsidRDefault="00177DFC">
      <w:r>
        <w:separator/>
      </w:r>
    </w:p>
  </w:endnote>
  <w:endnote w:type="continuationSeparator" w:id="0">
    <w:p w:rsidR="00177DFC" w:rsidRDefault="0017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BB" w:rsidRDefault="007571B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FC" w:rsidRDefault="00177DFC">
      <w:r>
        <w:separator/>
      </w:r>
    </w:p>
  </w:footnote>
  <w:footnote w:type="continuationSeparator" w:id="0">
    <w:p w:rsidR="00177DFC" w:rsidRDefault="0017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BB" w:rsidRDefault="00177DF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cs="Arial"/>
        <w:color w:val="000000"/>
        <w:sz w:val="20"/>
        <w:szCs w:val="20"/>
      </w:rPr>
    </w:pPr>
    <w:r>
      <w:rPr>
        <w:rFonts w:cs="Arial"/>
        <w:noProof/>
        <w:color w:val="000000"/>
        <w:sz w:val="18"/>
        <w:szCs w:val="18"/>
        <w:lang w:val="en-US" w:eastAsia="en-US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721995</wp:posOffset>
              </wp:positionH>
              <wp:positionV relativeFrom="page">
                <wp:posOffset>454025</wp:posOffset>
              </wp:positionV>
              <wp:extent cx="525780" cy="525145"/>
              <wp:effectExtent l="0" t="0" r="0" b="0"/>
              <wp:wrapSquare wrapText="bothSides" distT="0" distB="0" distL="0" distR="0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80" cy="525145"/>
                        <a:chOff x="5083110" y="3517428"/>
                        <a:chExt cx="525780" cy="5251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083110" y="3517428"/>
                          <a:ext cx="525780" cy="525145"/>
                          <a:chOff x="5083110" y="3516793"/>
                          <a:chExt cx="525780" cy="5251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083110" y="3516793"/>
                            <a:ext cx="525775" cy="5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71BB" w:rsidRDefault="007571B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5083110" y="3516793"/>
                            <a:ext cx="525780" cy="525145"/>
                            <a:chOff x="1137" y="714"/>
                            <a:chExt cx="828" cy="827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1137" y="715"/>
                              <a:ext cx="82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71BB" w:rsidRDefault="007571B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137" y="714"/>
                              <a:ext cx="828" cy="827"/>
                            </a:xfrm>
                            <a:prstGeom prst="rect">
                              <a:avLst/>
                            </a:prstGeom>
                            <a:solidFill>
                              <a:srgbClr val="0740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571BB" w:rsidRDefault="007571B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252" y="992"/>
                              <a:ext cx="59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721995</wp:posOffset>
              </wp:positionH>
              <wp:positionV relativeFrom="page">
                <wp:posOffset>454025</wp:posOffset>
              </wp:positionV>
              <wp:extent cx="525780" cy="525145"/>
              <wp:effectExtent b="0" l="0" r="0" t="0"/>
              <wp:wrapSquare wrapText="bothSides" distB="0" distT="0" distL="0" distR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780" cy="525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58A"/>
    <w:multiLevelType w:val="multilevel"/>
    <w:tmpl w:val="70003D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177DFC"/>
    <w:rsid w:val="001D56D4"/>
    <w:rsid w:val="006A0D1D"/>
    <w:rsid w:val="007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F93"/>
  <w15:docId w15:val="{C6005DAD-EE65-429E-9287-00D90BBF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  <w:lang w:eastAsia="lt"/>
    </w:rPr>
  </w:style>
  <w:style w:type="paragraph" w:styleId="Heading1">
    <w:name w:val="heading 1"/>
    <w:basedOn w:val="Normal"/>
    <w:link w:val="Heading1Char"/>
    <w:uiPriority w:val="1"/>
    <w:qFormat/>
    <w:pPr>
      <w:ind w:left="192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83"/>
    <w:rPr>
      <w:rFonts w:ascii="Segoe UI" w:eastAsia="Arial" w:hAnsi="Segoe UI" w:cs="Segoe UI"/>
      <w:sz w:val="18"/>
      <w:szCs w:val="18"/>
      <w:lang w:val="lt" w:eastAsia="lt"/>
    </w:rPr>
  </w:style>
  <w:style w:type="paragraph" w:styleId="Header">
    <w:name w:val="header"/>
    <w:basedOn w:val="Normal"/>
    <w:link w:val="HeaderChar"/>
    <w:uiPriority w:val="99"/>
    <w:unhideWhenUsed/>
    <w:rsid w:val="0053159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9F"/>
    <w:rPr>
      <w:rFonts w:ascii="Arial" w:eastAsia="Arial" w:hAnsi="Arial" w:cs="Times New Roman"/>
      <w:lang w:val="lt" w:eastAsia="lt"/>
    </w:rPr>
  </w:style>
  <w:style w:type="paragraph" w:styleId="Footer">
    <w:name w:val="footer"/>
    <w:basedOn w:val="Normal"/>
    <w:link w:val="FooterChar"/>
    <w:uiPriority w:val="99"/>
    <w:unhideWhenUsed/>
    <w:rsid w:val="0053159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9F"/>
    <w:rPr>
      <w:rFonts w:ascii="Arial" w:eastAsia="Arial" w:hAnsi="Arial" w:cs="Times New Roman"/>
      <w:lang w:val="lt" w:eastAsia="lt"/>
    </w:rPr>
  </w:style>
  <w:style w:type="character" w:customStyle="1" w:styleId="Heading1Char">
    <w:name w:val="Heading 1 Char"/>
    <w:basedOn w:val="DefaultParagraphFont"/>
    <w:link w:val="Heading1"/>
    <w:uiPriority w:val="1"/>
    <w:rsid w:val="002F3108"/>
    <w:rPr>
      <w:rFonts w:ascii="Arial" w:eastAsia="Arial" w:hAnsi="Arial" w:cs="Times New Roman"/>
      <w:b/>
      <w:bCs/>
      <w:sz w:val="18"/>
      <w:szCs w:val="18"/>
      <w:lang w:val="lt" w:eastAsia="l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8/09/why-design-thinking-wor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7CEXsUk9dS6zBD6Fdqm/fELKsA==">AMUW2mUok94XZmdOYdtOppRT8lbtTWlg1LEYdX1ecuOzweVwO6mBSV5gm6Ez+lYXhHyVluUk+6rPbntL27PwpxWkLAt9DEYGsJ8eXRJgiYej9x5CegVRIkAnP/a5OgXVHobTDwEuh4VvtMIs0Yheq3rfJCUSvNmu7A==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Grėtė Arbačiauskaitė</cp:lastModifiedBy>
  <cp:revision>3</cp:revision>
  <dcterms:created xsi:type="dcterms:W3CDTF">2021-08-16T07:54:00Z</dcterms:created>
  <dcterms:modified xsi:type="dcterms:W3CDTF">2021-08-18T08:03:00Z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2019-06-10T00:00:00Z</vt:filetime>
  </property>
</Properties>
</file>